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18" w:rsidRPr="00A52518" w:rsidRDefault="00A52518" w:rsidP="00A52518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A52518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A.Ş. Merkez Nakli</w:t>
      </w:r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Kuruluş işlemleri MERSİS Sisteminden yapılmaktadır. İlgili linke aşağıdan ulaşabilirsiniz.</w:t>
      </w:r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b/>
          <w:bCs/>
          <w:color w:val="FF0000"/>
          <w:sz w:val="20"/>
          <w:lang w:eastAsia="tr-TR"/>
        </w:rPr>
        <w:t>Link: </w:t>
      </w:r>
      <w:hyperlink r:id="rId4" w:tgtFrame="_blank" w:history="1">
        <w:r w:rsidRPr="00A52518">
          <w:rPr>
            <w:rFonts w:ascii="Tahoma" w:eastAsia="Times New Roman" w:hAnsi="Tahoma" w:cs="Tahoma"/>
            <w:color w:val="FF0000"/>
            <w:sz w:val="20"/>
            <w:lang w:eastAsia="tr-TR"/>
          </w:rPr>
          <w:t>http://mersis.gumrukticaret.gov.tr/</w:t>
        </w:r>
      </w:hyperlink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tr-TR"/>
        </w:rPr>
        <w:t>A.Ş. Merkez Nakli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1- </w:t>
      </w:r>
      <w:r w:rsidR="000835AD">
        <w:t xml:space="preserve">Dilekçe </w:t>
      </w:r>
      <w:r w:rsidRPr="00A5251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Ticaret Sicili Müdürlüğüne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(Şirket kaşesi ile yetkili tarafından imzalanmalı, </w:t>
      </w:r>
      <w:proofErr w:type="gramStart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vekaleten</w:t>
      </w:r>
      <w:proofErr w:type="gramEnd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imzalanmış ise vekaletin aslı veya onaylı sureti eklenmeli, ekindeki evrak dökümünü içermelidir.)</w:t>
      </w:r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2- </w:t>
      </w:r>
      <w:r w:rsidR="000835AD">
        <w:t xml:space="preserve">Dilekçe 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Ticaret</w:t>
      </w:r>
      <w:r w:rsidR="00E46F9B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ve Sanayi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Odası Başkanlığına</w:t>
      </w:r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3-Bakanlık iznine tabi olmayan anonim şirketlerde;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Genel kurul karar defterinden noter onaylı genel kurul toplantı tutanağı (</w:t>
      </w:r>
      <w:proofErr w:type="spellStart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anasözleşmenin</w:t>
      </w:r>
      <w:proofErr w:type="spellEnd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değişen merkez maddesinin yeni şekli tam metin olarak yer almalı ve genel kurulca kabul edilmelidir) Tadil metni genel kurula ek olursa şirket kaşeli ve divan üyelerince imzalı olmalıdır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Bakanlık iznine tabi anonim şirketlerde, ek olarak Bakanlık izin yazısı aslı ve Bakanlık onaylı tadil metni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4- Bakanlık temsilcisi atama yazısı aslı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5-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Hazirun</w:t>
      </w:r>
      <w:proofErr w:type="spellEnd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cetveli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6-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Gündem Aslı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7- Merkezin nakil olarak geldiği Sicil Müdürlüğü’nden Sicil Yönetmeliğinin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111. </w:t>
      </w:r>
      <w:proofErr w:type="gramStart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md.ne</w:t>
      </w:r>
      <w:proofErr w:type="gramEnd"/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göre alınan belge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8- Merkezin nakil olarak geldiği Sicil Müdürlüğü’nce tescil edilen ana sözleşme ve ana sözleşme değişiklikleri ve son Yönetim Kurulu seçimine ilişkin tescillerin onaylı sureti ile tescillere ait Ticaret Sicil Gazetesi ve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oda kaydı için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bir surette fotokopisi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9-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 Temsil yetkisine sahip olanların şirket unvanlı imza beyannamesi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tr-TR"/>
        </w:rPr>
        <w:t>10- </w:t>
      </w:r>
      <w:r w:rsidR="000835AD">
        <w:t>Oda Kayıt Beyannamesi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imzalı, kaşeli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 adet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 (Yetkililerce İmzalanmalı – ortakların resimleri bulunmalıdır)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11-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 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Merkez nakli ile ilgili noter tasdikli yönetim kurulu kararı</w:t>
      </w:r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12-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 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Faaliyet Raporu ve Denetime Tabi Şirketlerde Denetçi Raporu</w:t>
      </w:r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A52518" w:rsidRPr="00A52518" w:rsidRDefault="00A52518" w:rsidP="00A52518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13-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2 Adet 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Bilanço ve Gelir Gider Cetveli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14- Dilekçe taahhütname bilgilerini içermiyor ise TSY 24 maddesine istinaden düzenlenecek </w:t>
      </w:r>
      <w:r w:rsidR="000835AD">
        <w:t>Taahhütname</w:t>
      </w:r>
      <w:r w:rsidR="000835AD"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şirket yetkilileri tarafından imzalanacak </w:t>
      </w: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1 adet,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Not: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Kararlarda  T.C. kimlik numaraları (yabancı uyrukluların vergi dairelerinden alınacak vergi numaraları) belirtilmelidir.</w:t>
      </w:r>
    </w:p>
    <w:p w:rsidR="00A52518" w:rsidRPr="00A52518" w:rsidRDefault="00A52518" w:rsidP="00A52518">
      <w:pPr>
        <w:shd w:val="clear" w:color="auto" w:fill="FFFFFF"/>
        <w:spacing w:after="160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A5251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Not:</w:t>
      </w:r>
      <w:r w:rsidRPr="00A52518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Tescil süresi 1 aydır.</w:t>
      </w:r>
    </w:p>
    <w:p w:rsidR="003D4771" w:rsidRDefault="003D4771" w:rsidP="00A52518">
      <w:pPr>
        <w:ind w:right="-2"/>
      </w:pPr>
    </w:p>
    <w:sectPr w:rsidR="003D4771" w:rsidSect="00A52518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2518"/>
    <w:rsid w:val="000835AD"/>
    <w:rsid w:val="00311252"/>
    <w:rsid w:val="003D4771"/>
    <w:rsid w:val="005133BD"/>
    <w:rsid w:val="00804EF0"/>
    <w:rsid w:val="00A52518"/>
    <w:rsid w:val="00A55CE4"/>
    <w:rsid w:val="00E042EE"/>
    <w:rsid w:val="00E46F9B"/>
    <w:rsid w:val="00FB3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52518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A525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251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0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776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32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4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9436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4818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senol</dc:creator>
  <cp:lastModifiedBy>senol</cp:lastModifiedBy>
  <cp:revision>3</cp:revision>
  <dcterms:created xsi:type="dcterms:W3CDTF">2018-08-28T11:52:00Z</dcterms:created>
  <dcterms:modified xsi:type="dcterms:W3CDTF">2018-09-12T10:15:00Z</dcterms:modified>
</cp:coreProperties>
</file>