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D4" w:rsidRPr="004E03D4" w:rsidRDefault="004E03D4" w:rsidP="004E03D4">
      <w:pPr>
        <w:spacing w:line="525" w:lineRule="atLeast"/>
        <w:ind w:left="0" w:right="0"/>
        <w:jc w:val="left"/>
        <w:rPr>
          <w:rFonts w:ascii="Tahoma" w:eastAsia="Times New Roman" w:hAnsi="Tahoma" w:cs="Tahoma"/>
          <w:b/>
          <w:bCs/>
          <w:color w:val="000000"/>
          <w:sz w:val="26"/>
          <w:szCs w:val="26"/>
          <w:lang w:eastAsia="tr-TR"/>
        </w:rPr>
      </w:pPr>
      <w:r w:rsidRPr="004E03D4">
        <w:rPr>
          <w:rFonts w:ascii="Tahoma" w:eastAsia="Times New Roman" w:hAnsi="Tahoma" w:cs="Tahoma"/>
          <w:b/>
          <w:bCs/>
          <w:color w:val="000000"/>
          <w:sz w:val="26"/>
          <w:szCs w:val="26"/>
          <w:lang w:eastAsia="tr-TR"/>
        </w:rPr>
        <w:t>A.Ş. Genel Kurul</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color w:val="FF0000"/>
          <w:sz w:val="20"/>
          <w:lang w:eastAsia="tr-TR"/>
        </w:rPr>
        <w:t>Tescil işlemleri MERSİS Sisteminden yapılmaktadır. İlgili linke aşağıdan ulaşabilirsiniz.</w:t>
      </w:r>
      <w:r w:rsidRPr="004E03D4">
        <w:rPr>
          <w:rFonts w:ascii="Tahoma" w:eastAsia="Times New Roman" w:hAnsi="Tahoma" w:cs="Tahoma"/>
          <w:b/>
          <w:bCs/>
          <w:color w:val="FF0000"/>
          <w:sz w:val="20"/>
          <w:szCs w:val="20"/>
          <w:lang w:eastAsia="tr-TR"/>
        </w:rPr>
        <w:br/>
      </w:r>
      <w:r w:rsidRPr="004E03D4">
        <w:rPr>
          <w:rFonts w:ascii="Tahoma" w:eastAsia="Times New Roman" w:hAnsi="Tahoma" w:cs="Tahoma"/>
          <w:b/>
          <w:bCs/>
          <w:color w:val="FF0000"/>
          <w:sz w:val="20"/>
          <w:lang w:eastAsia="tr-TR"/>
        </w:rPr>
        <w:t>Link: </w:t>
      </w:r>
      <w:hyperlink r:id="rId4" w:tgtFrame="_blank" w:history="1">
        <w:r w:rsidRPr="004E03D4">
          <w:rPr>
            <w:rFonts w:ascii="Tahoma" w:eastAsia="Times New Roman" w:hAnsi="Tahoma" w:cs="Tahoma"/>
            <w:b/>
            <w:bCs/>
            <w:color w:val="FF0000"/>
            <w:sz w:val="20"/>
            <w:lang w:eastAsia="tr-TR"/>
          </w:rPr>
          <w:t>http://mersis.gumrukticaret.gov.tr/</w:t>
        </w:r>
      </w:hyperlink>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A.Ş. GENEL KURUL</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 Genel kurul sonrası müdürlüğümüze tevdi edilecek evraklar: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1- </w:t>
      </w:r>
      <w:r w:rsidR="00DF411E">
        <w:t xml:space="preserve">Dilekçe </w:t>
      </w:r>
      <w:r w:rsidRPr="004E03D4">
        <w:rPr>
          <w:rFonts w:ascii="Tahoma" w:eastAsia="Times New Roman" w:hAnsi="Tahoma" w:cs="Tahoma"/>
          <w:sz w:val="20"/>
          <w:szCs w:val="20"/>
          <w:lang w:eastAsia="tr-TR"/>
        </w:rPr>
        <w:t xml:space="preserve">Ticaret Sicili Müdürlüğüne (Şirket kaşesi ile yetkili tarafından imzalanmalı, </w:t>
      </w:r>
      <w:proofErr w:type="gramStart"/>
      <w:r w:rsidRPr="004E03D4">
        <w:rPr>
          <w:rFonts w:ascii="Tahoma" w:eastAsia="Times New Roman" w:hAnsi="Tahoma" w:cs="Tahoma"/>
          <w:sz w:val="20"/>
          <w:szCs w:val="20"/>
          <w:lang w:eastAsia="tr-TR"/>
        </w:rPr>
        <w:t>vekaleten</w:t>
      </w:r>
      <w:proofErr w:type="gramEnd"/>
      <w:r w:rsidRPr="004E03D4">
        <w:rPr>
          <w:rFonts w:ascii="Tahoma" w:eastAsia="Times New Roman" w:hAnsi="Tahoma" w:cs="Tahoma"/>
          <w:sz w:val="20"/>
          <w:szCs w:val="20"/>
          <w:lang w:eastAsia="tr-TR"/>
        </w:rPr>
        <w:t xml:space="preserve"> imzalanmış ise vekaletin aslı veya onaylı sureti eklenmeli, ekindeki evrak dökümünü içermelidir.)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2- </w:t>
      </w:r>
      <w:r w:rsidR="00DF411E">
        <w:rPr>
          <w:rFonts w:ascii="Tahoma" w:eastAsia="Times New Roman" w:hAnsi="Tahoma" w:cs="Tahoma"/>
          <w:sz w:val="20"/>
          <w:szCs w:val="20"/>
          <w:lang w:eastAsia="tr-TR"/>
        </w:rPr>
        <w:t xml:space="preserve">Dilekçe </w:t>
      </w:r>
      <w:hyperlink r:id="rId5" w:tgtFrame="_blank" w:history="1"/>
      <w:r w:rsidRPr="004E03D4">
        <w:rPr>
          <w:rFonts w:ascii="Tahoma" w:eastAsia="Times New Roman" w:hAnsi="Tahoma" w:cs="Tahoma"/>
          <w:sz w:val="20"/>
          <w:szCs w:val="20"/>
          <w:lang w:eastAsia="tr-TR"/>
        </w:rPr>
        <w:t>Ticaret</w:t>
      </w:r>
      <w:r w:rsidR="006424B1">
        <w:rPr>
          <w:rFonts w:ascii="Tahoma" w:eastAsia="Times New Roman" w:hAnsi="Tahoma" w:cs="Tahoma"/>
          <w:sz w:val="20"/>
          <w:szCs w:val="20"/>
          <w:lang w:eastAsia="tr-TR"/>
        </w:rPr>
        <w:t xml:space="preserve"> ve Sanayi</w:t>
      </w:r>
      <w:r w:rsidRPr="004E03D4">
        <w:rPr>
          <w:rFonts w:ascii="Tahoma" w:eastAsia="Times New Roman" w:hAnsi="Tahoma" w:cs="Tahoma"/>
          <w:sz w:val="20"/>
          <w:szCs w:val="20"/>
          <w:lang w:eastAsia="tr-TR"/>
        </w:rPr>
        <w:t xml:space="preserve"> Odası Başkanlığına</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3- Genel kurul karar defterinden noter onaylı </w:t>
      </w:r>
      <w:r w:rsidR="00DF411E">
        <w:t>Toplantı Tutanağı</w:t>
      </w:r>
      <w:r w:rsidR="00DF411E" w:rsidRPr="004E03D4">
        <w:rPr>
          <w:rFonts w:ascii="Tahoma" w:eastAsia="Times New Roman" w:hAnsi="Tahoma" w:cs="Tahoma"/>
          <w:b/>
          <w:bCs/>
          <w:sz w:val="20"/>
          <w:szCs w:val="20"/>
          <w:lang w:eastAsia="tr-TR"/>
        </w:rPr>
        <w:t xml:space="preserve"> </w:t>
      </w:r>
      <w:r w:rsidRPr="004E03D4">
        <w:rPr>
          <w:rFonts w:ascii="Tahoma" w:eastAsia="Times New Roman" w:hAnsi="Tahoma" w:cs="Tahoma"/>
          <w:b/>
          <w:bCs/>
          <w:sz w:val="20"/>
          <w:szCs w:val="20"/>
          <w:lang w:eastAsia="tr-TR"/>
        </w:rPr>
        <w:t>2 Adet</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4- </w:t>
      </w:r>
      <w:proofErr w:type="spellStart"/>
      <w:r w:rsidRPr="004E03D4">
        <w:rPr>
          <w:rFonts w:ascii="Tahoma" w:eastAsia="Times New Roman" w:hAnsi="Tahoma" w:cs="Tahoma"/>
          <w:sz w:val="20"/>
          <w:szCs w:val="20"/>
          <w:lang w:eastAsia="tr-TR"/>
        </w:rPr>
        <w:t>Hazirun</w:t>
      </w:r>
      <w:proofErr w:type="spellEnd"/>
      <w:r w:rsidRPr="004E03D4">
        <w:rPr>
          <w:rFonts w:ascii="Tahoma" w:eastAsia="Times New Roman" w:hAnsi="Tahoma" w:cs="Tahoma"/>
          <w:sz w:val="20"/>
          <w:szCs w:val="20"/>
          <w:lang w:eastAsia="tr-TR"/>
        </w:rPr>
        <w:t xml:space="preserve"> cetveli </w:t>
      </w:r>
      <w:r w:rsidRPr="004E03D4">
        <w:rPr>
          <w:rFonts w:ascii="Tahoma" w:eastAsia="Times New Roman" w:hAnsi="Tahoma" w:cs="Tahoma"/>
          <w:b/>
          <w:bCs/>
          <w:sz w:val="20"/>
          <w:szCs w:val="20"/>
          <w:lang w:eastAsia="tr-TR"/>
        </w:rPr>
        <w:t>2 Adet</w:t>
      </w:r>
      <w:r w:rsidRPr="004E03D4">
        <w:rPr>
          <w:rFonts w:ascii="Tahoma" w:eastAsia="Times New Roman" w:hAnsi="Tahoma" w:cs="Tahoma"/>
          <w:sz w:val="20"/>
          <w:szCs w:val="20"/>
          <w:lang w:eastAsia="tr-TR"/>
        </w:rPr>
        <w:t> Aslı</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5- Bakanlık temsilcisi atama yazısı aslı (Bakanlık temsilcisi bulundurma zorunluluğu olan toplantılarda)</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xml:space="preserve">6- Genel kurulda yönetim kurulu seçimi yapıldı ve temsil ilzam yetkisi belirlenmedi ise tüm yönetim kurulu üyelerine ait şirket </w:t>
      </w:r>
      <w:proofErr w:type="spellStart"/>
      <w:r w:rsidRPr="004E03D4">
        <w:rPr>
          <w:rFonts w:ascii="Tahoma" w:eastAsia="Times New Roman" w:hAnsi="Tahoma" w:cs="Tahoma"/>
          <w:sz w:val="20"/>
          <w:szCs w:val="20"/>
          <w:lang w:eastAsia="tr-TR"/>
        </w:rPr>
        <w:t>ünvanlı</w:t>
      </w:r>
      <w:proofErr w:type="spellEnd"/>
      <w:r w:rsidRPr="004E03D4">
        <w:rPr>
          <w:rFonts w:ascii="Tahoma" w:eastAsia="Times New Roman" w:hAnsi="Tahoma" w:cs="Tahoma"/>
          <w:sz w:val="20"/>
          <w:szCs w:val="20"/>
          <w:lang w:eastAsia="tr-TR"/>
        </w:rPr>
        <w:t xml:space="preserve"> imza beyannamesi. Temsil ilzam yetkisi belirlendi ise sadece temsil ilzam yetkisi verilen kişilere ait şirket </w:t>
      </w:r>
      <w:proofErr w:type="spellStart"/>
      <w:r w:rsidRPr="004E03D4">
        <w:rPr>
          <w:rFonts w:ascii="Tahoma" w:eastAsia="Times New Roman" w:hAnsi="Tahoma" w:cs="Tahoma"/>
          <w:sz w:val="20"/>
          <w:szCs w:val="20"/>
          <w:lang w:eastAsia="tr-TR"/>
        </w:rPr>
        <w:t>ünvanlı</w:t>
      </w:r>
      <w:proofErr w:type="spellEnd"/>
      <w:r w:rsidRPr="004E03D4">
        <w:rPr>
          <w:rFonts w:ascii="Tahoma" w:eastAsia="Times New Roman" w:hAnsi="Tahoma" w:cs="Tahoma"/>
          <w:sz w:val="20"/>
          <w:szCs w:val="20"/>
          <w:lang w:eastAsia="tr-TR"/>
        </w:rPr>
        <w:t xml:space="preserve"> imza beyannamesi </w:t>
      </w:r>
      <w:r w:rsidRPr="004E03D4">
        <w:rPr>
          <w:rFonts w:ascii="Tahoma" w:eastAsia="Times New Roman" w:hAnsi="Tahoma" w:cs="Tahoma"/>
          <w:b/>
          <w:bCs/>
          <w:sz w:val="20"/>
          <w:szCs w:val="20"/>
          <w:lang w:eastAsia="tr-TR"/>
        </w:rPr>
        <w:t>2 Adet</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7- </w:t>
      </w:r>
      <w:r w:rsidRPr="004E03D4">
        <w:rPr>
          <w:rFonts w:ascii="Tahoma" w:eastAsia="Times New Roman" w:hAnsi="Tahoma" w:cs="Tahoma"/>
          <w:b/>
          <w:bCs/>
          <w:sz w:val="20"/>
          <w:szCs w:val="20"/>
          <w:lang w:eastAsia="tr-TR"/>
        </w:rPr>
        <w:t>2 Adet</w:t>
      </w:r>
      <w:r w:rsidRPr="004E03D4">
        <w:rPr>
          <w:rFonts w:ascii="Tahoma" w:eastAsia="Times New Roman" w:hAnsi="Tahoma" w:cs="Tahoma"/>
          <w:sz w:val="20"/>
          <w:szCs w:val="20"/>
          <w:lang w:eastAsia="tr-TR"/>
        </w:rPr>
        <w:t> Gündem</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8- Faaliyet Raporu </w:t>
      </w:r>
      <w:r w:rsidRPr="004E03D4">
        <w:rPr>
          <w:rFonts w:ascii="Tahoma" w:eastAsia="Times New Roman" w:hAnsi="Tahoma" w:cs="Tahoma"/>
          <w:b/>
          <w:bCs/>
          <w:sz w:val="20"/>
          <w:lang w:eastAsia="tr-TR"/>
        </w:rPr>
        <w:t>2 Adet </w:t>
      </w:r>
      <w:r w:rsidRPr="004E03D4">
        <w:rPr>
          <w:rFonts w:ascii="Tahoma" w:eastAsia="Times New Roman" w:hAnsi="Tahoma" w:cs="Tahoma"/>
          <w:sz w:val="20"/>
          <w:szCs w:val="20"/>
          <w:lang w:eastAsia="tr-TR"/>
        </w:rPr>
        <w:t>ve Denetime Tabi Şirketlerde Denetçi Raporu</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9- Bilanço ve Gelir Gider Cetveli </w:t>
      </w:r>
      <w:r w:rsidRPr="004E03D4">
        <w:rPr>
          <w:rFonts w:ascii="Tahoma" w:eastAsia="Times New Roman" w:hAnsi="Tahoma" w:cs="Tahoma"/>
          <w:b/>
          <w:bCs/>
          <w:sz w:val="20"/>
          <w:szCs w:val="20"/>
          <w:lang w:eastAsia="tr-TR"/>
        </w:rPr>
        <w:t>2 Adet</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10-Genel Kurulda yönetim kurulu seçimi yapıldı ise Noter Onaylı Yönetim Kurulu Görev Ve Yetki </w:t>
      </w:r>
      <w:r w:rsidR="00DF411E">
        <w:t>Kararı</w:t>
      </w:r>
      <w:r w:rsidR="00DF411E" w:rsidRPr="004E03D4">
        <w:rPr>
          <w:rFonts w:ascii="Tahoma" w:eastAsia="Times New Roman" w:hAnsi="Tahoma" w:cs="Tahoma"/>
          <w:b/>
          <w:bCs/>
          <w:sz w:val="20"/>
          <w:szCs w:val="20"/>
          <w:lang w:eastAsia="tr-TR"/>
        </w:rPr>
        <w:t xml:space="preserve"> </w:t>
      </w:r>
      <w:r w:rsidRPr="004E03D4">
        <w:rPr>
          <w:rFonts w:ascii="Tahoma" w:eastAsia="Times New Roman" w:hAnsi="Tahoma" w:cs="Tahoma"/>
          <w:b/>
          <w:bCs/>
          <w:sz w:val="20"/>
          <w:szCs w:val="20"/>
          <w:lang w:eastAsia="tr-TR"/>
        </w:rPr>
        <w:t>2 Adet</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11-</w:t>
      </w:r>
      <w:r w:rsidRPr="004E03D4">
        <w:rPr>
          <w:rFonts w:ascii="Calibri" w:eastAsia="Times New Roman" w:hAnsi="Calibri" w:cs="Tahoma"/>
          <w:sz w:val="20"/>
          <w:szCs w:val="20"/>
          <w:lang w:eastAsia="tr-TR"/>
        </w:rPr>
        <w:t> </w:t>
      </w:r>
      <w:r w:rsidRPr="004E03D4">
        <w:rPr>
          <w:rFonts w:ascii="Tahoma" w:eastAsia="Times New Roman" w:hAnsi="Tahoma" w:cs="Tahoma"/>
          <w:sz w:val="20"/>
          <w:szCs w:val="20"/>
          <w:lang w:eastAsia="tr-TR"/>
        </w:rPr>
        <w:t>Genel Kurulunun Çalışma Esas ve Usullerine </w:t>
      </w:r>
      <w:r w:rsidRPr="004E03D4">
        <w:rPr>
          <w:rFonts w:ascii="Tahoma" w:eastAsia="Times New Roman" w:hAnsi="Tahoma" w:cs="Tahoma"/>
          <w:b/>
          <w:bCs/>
          <w:sz w:val="20"/>
          <w:szCs w:val="20"/>
          <w:lang w:eastAsia="tr-TR"/>
        </w:rPr>
        <w:t>İlişkin İç Yönerge</w:t>
      </w:r>
      <w:r w:rsidRPr="004E03D4">
        <w:rPr>
          <w:rFonts w:ascii="Calibri" w:eastAsia="Times New Roman" w:hAnsi="Calibri" w:cs="Tahoma"/>
          <w:sz w:val="20"/>
          <w:szCs w:val="20"/>
          <w:lang w:eastAsia="tr-TR"/>
        </w:rPr>
        <w:t> (</w:t>
      </w:r>
      <w:r w:rsidRPr="004E03D4">
        <w:rPr>
          <w:rFonts w:ascii="Tahoma" w:eastAsia="Times New Roman" w:hAnsi="Tahoma" w:cs="Tahoma"/>
          <w:sz w:val="20"/>
          <w:szCs w:val="20"/>
          <w:lang w:eastAsia="tr-TR"/>
        </w:rPr>
        <w:t xml:space="preserve">Daha önceden tescil ve ilan edilmemiş ise; ilk yapılacak genel kurulda ve yeni kuruluşa </w:t>
      </w:r>
      <w:proofErr w:type="spellStart"/>
      <w:r w:rsidRPr="004E03D4">
        <w:rPr>
          <w:rFonts w:ascii="Tahoma" w:eastAsia="Times New Roman" w:hAnsi="Tahoma" w:cs="Tahoma"/>
          <w:sz w:val="20"/>
          <w:szCs w:val="20"/>
          <w:lang w:eastAsia="tr-TR"/>
        </w:rPr>
        <w:t>mütakip</w:t>
      </w:r>
      <w:proofErr w:type="spellEnd"/>
      <w:r w:rsidRPr="004E03D4">
        <w:rPr>
          <w:rFonts w:ascii="Tahoma" w:eastAsia="Times New Roman" w:hAnsi="Tahoma" w:cs="Tahoma"/>
          <w:sz w:val="20"/>
          <w:szCs w:val="20"/>
          <w:lang w:eastAsia="tr-TR"/>
        </w:rPr>
        <w:t xml:space="preserve"> yapılacak olan ilk genel kurul tarafından onaylanmak üzere)</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roofErr w:type="gramStart"/>
      <w:r w:rsidRPr="004E03D4">
        <w:rPr>
          <w:rFonts w:ascii="Tahoma" w:eastAsia="Times New Roman" w:hAnsi="Tahoma" w:cs="Tahoma"/>
          <w:sz w:val="20"/>
          <w:szCs w:val="20"/>
          <w:lang w:eastAsia="tr-TR"/>
        </w:rPr>
        <w:t>•       Tüzel kişinin yönetim kuruluna seçilmesi halinde, tüzel kişi ile birlikte ve tüzel kişi adına, tüzel kişi tarafından belirlenen gerçek kişinin adı-soyadı, adresi, uyruğu ve T.C. Kimlik numarasını (yabancı uyruklularda vergi numarası veya yabancılara mahsus kimlik numarası) içerecek şekilde alınmış tüzel kişi yönetim kurulu üyesinin yetkili organ kararı (Noter onaylı) ile tüzel kişi adına yabancı uyruklu bir kişi belirlenmesi ve bu yabancı kişinin de Türkiye’de ikamet ediyor olması halinde, ikamet tezkeresi </w:t>
      </w:r>
      <w:r w:rsidRPr="004E03D4">
        <w:rPr>
          <w:rFonts w:ascii="Tahoma" w:eastAsia="Times New Roman" w:hAnsi="Tahoma" w:cs="Tahoma"/>
          <w:b/>
          <w:bCs/>
          <w:sz w:val="20"/>
          <w:szCs w:val="20"/>
          <w:lang w:eastAsia="tr-TR"/>
        </w:rPr>
        <w:t>2 Adet Aslı</w:t>
      </w:r>
      <w:proofErr w:type="gramEnd"/>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roofErr w:type="gramStart"/>
      <w:r w:rsidRPr="004E03D4">
        <w:rPr>
          <w:rFonts w:ascii="Tahoma" w:eastAsia="Times New Roman" w:hAnsi="Tahoma" w:cs="Tahoma"/>
          <w:sz w:val="20"/>
          <w:szCs w:val="20"/>
          <w:lang w:eastAsia="tr-TR"/>
        </w:rPr>
        <w:t>•       Tüzel kişi yönetim kurulu üyesinin yabancı uyruklu olması halinde tüzel kişinin güncel sicil kayıtlarını içeren belge (</w:t>
      </w:r>
      <w:r w:rsidRPr="004E03D4">
        <w:rPr>
          <w:rFonts w:ascii="Tahoma" w:eastAsia="Times New Roman" w:hAnsi="Tahoma" w:cs="Tahoma"/>
          <w:b/>
          <w:bCs/>
          <w:sz w:val="20"/>
          <w:szCs w:val="20"/>
          <w:lang w:eastAsia="tr-TR"/>
        </w:rPr>
        <w:t>2 Adet</w:t>
      </w:r>
      <w:r w:rsidRPr="004E03D4">
        <w:rPr>
          <w:rFonts w:ascii="Tahoma" w:eastAsia="Times New Roman" w:hAnsi="Tahoma" w:cs="Tahoma"/>
          <w:sz w:val="20"/>
          <w:szCs w:val="20"/>
          <w:lang w:eastAsia="tr-TR"/>
        </w:rPr>
        <w:t> Noter onaylı)( Bu belgenin,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w:t>
      </w:r>
      <w:proofErr w:type="gramEnd"/>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       Yabancı uyruklu tüzel imza yetkilisi / yönetim kurulu üyesi girişi var ise genel kurul tutanağında vergi numarası belirtilmelidir.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xml:space="preserve"> •       Tüzel </w:t>
      </w:r>
      <w:proofErr w:type="gramStart"/>
      <w:r w:rsidRPr="004E03D4">
        <w:rPr>
          <w:rFonts w:ascii="Tahoma" w:eastAsia="Times New Roman" w:hAnsi="Tahoma" w:cs="Tahoma"/>
          <w:sz w:val="20"/>
          <w:szCs w:val="20"/>
          <w:lang w:eastAsia="tr-TR"/>
        </w:rPr>
        <w:t>Yönetim kurulu</w:t>
      </w:r>
      <w:proofErr w:type="gramEnd"/>
      <w:r w:rsidRPr="004E03D4">
        <w:rPr>
          <w:rFonts w:ascii="Tahoma" w:eastAsia="Times New Roman" w:hAnsi="Tahoma" w:cs="Tahoma"/>
          <w:sz w:val="20"/>
          <w:szCs w:val="20"/>
          <w:lang w:eastAsia="tr-TR"/>
        </w:rPr>
        <w:t xml:space="preserve"> üyesi Türk uyruklu fakat ticari ikametgahı İstanbul dışında ise tüzel ortağın kayıtlı bulunduğu Ticaret Sicil Müdürlüğü ve Ticaret sicil numarası /  vergi kimlik numarası ile </w:t>
      </w:r>
      <w:proofErr w:type="spellStart"/>
      <w:r w:rsidRPr="004E03D4">
        <w:rPr>
          <w:rFonts w:ascii="Tahoma" w:eastAsia="Times New Roman" w:hAnsi="Tahoma" w:cs="Tahoma"/>
          <w:sz w:val="20"/>
          <w:szCs w:val="20"/>
          <w:lang w:eastAsia="tr-TR"/>
        </w:rPr>
        <w:t>Mersis</w:t>
      </w:r>
      <w:proofErr w:type="spellEnd"/>
      <w:r w:rsidRPr="004E03D4">
        <w:rPr>
          <w:rFonts w:ascii="Tahoma" w:eastAsia="Times New Roman" w:hAnsi="Tahoma" w:cs="Tahoma"/>
          <w:sz w:val="20"/>
          <w:szCs w:val="20"/>
          <w:lang w:eastAsia="tr-TR"/>
        </w:rPr>
        <w:t xml:space="preserve"> numarası kararda/tadil mukavelesinde belirtilmelidir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Tüzel Kişi Adına, Tüzel Kişi Tarafından Belirlenen Gerçek Kişinin Bildirimi Hakkında Açıklama</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xml:space="preserve"> •       Tüzel kişi yönetim kurulu üyesi bulunan anonim şirketlerde görev dağılımı ile temsil ve ilzam kararlarında, görev ve yetki tüzel kişi yönetim kurulu üyesine verilmelidir. Ayrıca tutanakta tüzel kişi yönetim </w:t>
      </w:r>
      <w:r w:rsidRPr="004E03D4">
        <w:rPr>
          <w:rFonts w:ascii="Tahoma" w:eastAsia="Times New Roman" w:hAnsi="Tahoma" w:cs="Tahoma"/>
          <w:sz w:val="20"/>
          <w:szCs w:val="20"/>
          <w:lang w:eastAsia="tr-TR"/>
        </w:rPr>
        <w:lastRenderedPageBreak/>
        <w:t>kurulu üyesinin gerçek kişi temsilcisinin ad-soyadı, yerleşim yeri, vatandaşlığı, TC Kimlik Numarası, yabancı uyruklu ise vergi numarası veya yabancılara mahsus kimlik numarası belirtilmelidir. Yabancı uyruklu gerçek kişi temsilcinin ikamet adresi Türkiye’de ise ikamet tezkeresi eklenmelidir. Buna ilişkin karar </w:t>
      </w:r>
      <w:r w:rsidR="00DF411E">
        <w:t>Örneği</w:t>
      </w:r>
      <w:r w:rsidR="00DF411E" w:rsidRPr="004E03D4">
        <w:rPr>
          <w:rFonts w:ascii="Tahoma" w:eastAsia="Times New Roman" w:hAnsi="Tahoma" w:cs="Tahoma"/>
          <w:sz w:val="20"/>
          <w:szCs w:val="20"/>
          <w:lang w:eastAsia="tr-TR"/>
        </w:rPr>
        <w:t xml:space="preserve"> </w:t>
      </w:r>
      <w:r w:rsidRPr="004E03D4">
        <w:rPr>
          <w:rFonts w:ascii="Tahoma" w:eastAsia="Times New Roman" w:hAnsi="Tahoma" w:cs="Tahoma"/>
          <w:sz w:val="20"/>
          <w:szCs w:val="20"/>
          <w:lang w:eastAsia="tr-TR"/>
        </w:rPr>
        <w:t>ektedir.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Yönetim kurulu üyelerinin T.C. kimlik numaraları (yabancı uyrukluların vergi numarası veya yabancılara mahsus kimlik numarası) belirtilmelidir.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Genel kurul toplantısında hazır bulunmayanların yönetim kurulu üyeliklerine seçilmesi halinde bunların bu göreve aday olduklarını veya görevi kabul ettiklerini belirten yazılı </w:t>
      </w:r>
      <w:r w:rsidRPr="004E03D4">
        <w:rPr>
          <w:rFonts w:ascii="Tahoma" w:eastAsia="Times New Roman" w:hAnsi="Tahoma" w:cs="Tahoma"/>
          <w:sz w:val="20"/>
          <w:lang w:eastAsia="tr-TR"/>
        </w:rPr>
        <w:t> </w:t>
      </w:r>
      <w:r w:rsidR="00DF411E">
        <w:t>belge</w:t>
      </w:r>
      <w:r w:rsidRPr="004E03D4">
        <w:rPr>
          <w:rFonts w:ascii="Tahoma" w:eastAsia="Times New Roman" w:hAnsi="Tahoma" w:cs="Tahoma"/>
          <w:color w:val="000000"/>
          <w:sz w:val="20"/>
          <w:szCs w:val="20"/>
          <w:shd w:val="clear" w:color="auto" w:fill="FFFFFF"/>
          <w:lang w:eastAsia="tr-TR"/>
        </w:rPr>
        <w:t>. </w:t>
      </w:r>
      <w:r w:rsidRPr="004E03D4">
        <w:rPr>
          <w:rFonts w:ascii="Tahoma" w:eastAsia="Times New Roman" w:hAnsi="Tahoma" w:cs="Tahoma"/>
          <w:sz w:val="20"/>
          <w:szCs w:val="20"/>
          <w:lang w:eastAsia="tr-TR"/>
        </w:rPr>
        <w:t> Bu belgede yerleşim yeri, uyruğu, T.C. vatandaşı ise kimlik numarası, yabancı uyruklu ise vergi numarası veya yabancılara mahsus kimlik numarası belirtilmeli, yabancı uyruklu ise ekinde onaylı pasaport sureti ve ikameti Türkiye'de olan yabancı uyruklu için onaylı ikamet tezkeresi eklenmelidir.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Genel kurul ve yönetim kurulu kararlarında yetkililerin adları kısaltılmadan yazılmalıdır.</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proofErr w:type="gramStart"/>
      <w:r w:rsidRPr="004E03D4">
        <w:rPr>
          <w:rFonts w:ascii="Tahoma" w:eastAsia="Times New Roman" w:hAnsi="Tahoma" w:cs="Tahoma"/>
          <w:b/>
          <w:bCs/>
          <w:sz w:val="20"/>
          <w:szCs w:val="20"/>
          <w:lang w:eastAsia="tr-TR"/>
        </w:rPr>
        <w:t>Not</w:t>
      </w:r>
      <w:r w:rsidRPr="004E03D4">
        <w:rPr>
          <w:rFonts w:ascii="Tahoma" w:eastAsia="Times New Roman" w:hAnsi="Tahoma" w:cs="Tahoma"/>
          <w:sz w:val="20"/>
          <w:szCs w:val="20"/>
          <w:lang w:eastAsia="tr-TR"/>
        </w:rPr>
        <w:t> : Lütfen</w:t>
      </w:r>
      <w:proofErr w:type="gramEnd"/>
      <w:r w:rsidRPr="004E03D4">
        <w:rPr>
          <w:rFonts w:ascii="Tahoma" w:eastAsia="Times New Roman" w:hAnsi="Tahoma" w:cs="Tahoma"/>
          <w:sz w:val="20"/>
          <w:szCs w:val="20"/>
          <w:lang w:eastAsia="tr-TR"/>
        </w:rPr>
        <w:t xml:space="preserve"> dikkat.</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1. Ticaret Sicil Memurluğuna verilecek belgelerin tamamı asıl olacak,</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2. Karar defterinden çıkarılacak olan suretler daktilo edilmiş şekli ile notere tasdik ettirilecek,</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3. Posta ile gönderilecek evraklar işleme konulamaz.</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sz w:val="20"/>
          <w:szCs w:val="20"/>
          <w:lang w:eastAsia="tr-TR"/>
        </w:rPr>
        <w:t>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r w:rsidRPr="004E03D4">
        <w:rPr>
          <w:rFonts w:ascii="Tahoma" w:eastAsia="Times New Roman" w:hAnsi="Tahoma" w:cs="Tahoma"/>
          <w:b/>
          <w:bCs/>
          <w:sz w:val="20"/>
          <w:szCs w:val="20"/>
          <w:lang w:eastAsia="tr-TR"/>
        </w:rPr>
        <w:t>Not:</w:t>
      </w:r>
      <w:r w:rsidRPr="004E03D4">
        <w:rPr>
          <w:rFonts w:ascii="Tahoma" w:eastAsia="Times New Roman" w:hAnsi="Tahoma" w:cs="Tahoma"/>
          <w:sz w:val="20"/>
          <w:szCs w:val="20"/>
          <w:lang w:eastAsia="tr-TR"/>
        </w:rPr>
        <w:t>  Kararlarda T.C. Kimlik numaraları (Yabancı uyrukluların vergi dairelerinden alınacak vergi numaraları) belirtilmelidir.  </w:t>
      </w: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p>
    <w:p w:rsidR="004E03D4" w:rsidRPr="004E03D4" w:rsidRDefault="004E03D4" w:rsidP="004E03D4">
      <w:pPr>
        <w:spacing w:line="270" w:lineRule="atLeast"/>
        <w:ind w:left="120" w:right="120"/>
        <w:jc w:val="left"/>
        <w:rPr>
          <w:rFonts w:ascii="Tahoma" w:eastAsia="Times New Roman" w:hAnsi="Tahoma" w:cs="Tahoma"/>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b/>
          <w:bCs/>
          <w:color w:val="000000"/>
          <w:sz w:val="28"/>
          <w:szCs w:val="28"/>
          <w:lang w:eastAsia="tr-TR"/>
        </w:rPr>
        <w:t>BAKANLIK TEMSİLCİSİ BULUNDURMA ZORUNLULUĞU OLAN ANONİM ŞİRKET GENEL KURUL TOPLANTILARI    </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                                                                                                                                                                                                       “Bakanlık Temsilcisi” bulundurma zorunluluğu bulunan anonim şirket genel kurul toplantıları, 28.11.2012 tarih ve 28481 Sayılı Resmi Gazete'de yayımlanan "Anonim Şirketlerin Genel Kurul Toplantılarının Usul ve Esasları İle Bu Toplantılarda Bulunacak Gümrük ve Ticaret Bakanlığı Temsilcileri Hakkında Yönetmelik" m.32'de düzenlenmiştir. Buna göre; aşağıdaki anonim şirket genel kurul toplantılarında “Bakanlık Temsilcisi”nin bulunması zorunludur:</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 xml:space="preserve">1- Kuruluş ve esas sermaye değişikliği bakanlık iznine tâbi olan şirketlerin bütün genel kurul toplantılarında (Buna göre; bankalar, finansal kiralama şirketleri, </w:t>
      </w:r>
      <w:proofErr w:type="spellStart"/>
      <w:r w:rsidRPr="004E03D4">
        <w:rPr>
          <w:rFonts w:ascii="Tahoma" w:eastAsia="Times New Roman" w:hAnsi="Tahoma" w:cs="Tahoma"/>
          <w:color w:val="000000"/>
          <w:sz w:val="20"/>
          <w:szCs w:val="20"/>
          <w:lang w:eastAsia="tr-TR"/>
        </w:rPr>
        <w:t>faktoring</w:t>
      </w:r>
      <w:proofErr w:type="spellEnd"/>
      <w:r w:rsidRPr="004E03D4">
        <w:rPr>
          <w:rFonts w:ascii="Tahoma" w:eastAsia="Times New Roman" w:hAnsi="Tahoma" w:cs="Tahoma"/>
          <w:color w:val="000000"/>
          <w:sz w:val="20"/>
          <w:szCs w:val="20"/>
          <w:lang w:eastAsia="tr-TR"/>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w:t>
      </w:r>
      <w:proofErr w:type="gramStart"/>
      <w:r w:rsidRPr="004E03D4">
        <w:rPr>
          <w:rFonts w:ascii="Tahoma" w:eastAsia="Times New Roman" w:hAnsi="Tahoma" w:cs="Tahoma"/>
          <w:color w:val="000000"/>
          <w:sz w:val="20"/>
          <w:szCs w:val="20"/>
          <w:lang w:eastAsia="tr-TR"/>
        </w:rPr>
        <w:t>28/7/1981</w:t>
      </w:r>
      <w:proofErr w:type="gramEnd"/>
      <w:r w:rsidRPr="004E03D4">
        <w:rPr>
          <w:rFonts w:ascii="Tahoma" w:eastAsia="Times New Roman" w:hAnsi="Tahoma" w:cs="Tahoma"/>
          <w:color w:val="000000"/>
          <w:sz w:val="20"/>
          <w:szCs w:val="20"/>
          <w:lang w:eastAsia="tr-TR"/>
        </w:rPr>
        <w:t xml:space="preserve"> tarihli ve 2499 sayılı Sermaye Piyasası Kanununa tâbi şirketler ile serbest bölge kurucusu ve işleticisi anonim şirketlerin genel kurullarına,  “Bakanlık Temsilcisi”nin katılımı zorunlu olacaktır.)</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2-Genel kurullarında elektronik ortamda katılım sistemini uygulayan şirketlerin genel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3- Yurt dışında yapılacak bütün genel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4- Yurt dışında yapılacak bütün imtiyazlı pay sahipleri özel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5- Gündeminde, sermayenin artırılması veya azaltılması bulunan genel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lastRenderedPageBreak/>
        <w:t>6- Gündeminde, kayıtlı sermaye sistemine geçilmesi veya kayıtlı sermaye sisteminden çıkılması, kayıtlı sermaye sistemi tavanının artırılmasına ilişkin konular bulunan genel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7- Gündeminde, faaliyet konusunun değiştirilmesine ilişkin esas sözleşme değişikliği bulunan genel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 8- Gündeminde, birleşme, bölünme veya tür değişikliği konuları bulunan genel kurul toplantılarında</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 UYARI:</w:t>
      </w: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p>
    <w:p w:rsidR="004E03D4" w:rsidRPr="004E03D4" w:rsidRDefault="004E03D4" w:rsidP="004E03D4">
      <w:pPr>
        <w:shd w:val="clear" w:color="auto" w:fill="FFFFFF"/>
        <w:spacing w:line="270" w:lineRule="atLeast"/>
        <w:ind w:left="120" w:right="120"/>
        <w:jc w:val="left"/>
        <w:rPr>
          <w:rFonts w:ascii="Tahoma" w:eastAsia="Times New Roman" w:hAnsi="Tahoma" w:cs="Tahoma"/>
          <w:color w:val="000000"/>
          <w:sz w:val="16"/>
          <w:szCs w:val="16"/>
          <w:lang w:eastAsia="tr-TR"/>
        </w:rPr>
      </w:pPr>
      <w:r w:rsidRPr="004E03D4">
        <w:rPr>
          <w:rFonts w:ascii="Tahoma" w:eastAsia="Times New Roman" w:hAnsi="Tahoma" w:cs="Tahoma"/>
          <w:color w:val="000000"/>
          <w:sz w:val="20"/>
          <w:szCs w:val="20"/>
          <w:lang w:eastAsia="tr-TR"/>
        </w:rPr>
        <w:t>"Anonim Şirketlerin Genel Kurul Toplantılarının Usul ve Esasları İle Bu Toplantılarda Bulunacak Gümrük ve Ticaret Bakanlığı Temsilcileri Hakkında Yönetmelik" hükümlerine uygun olarak hazırlanacak iç yönergenin en geç 2013 yılında yapılacak  olağan genel kurul toplantısında onaya sunulması zorunludur.</w:t>
      </w:r>
    </w:p>
    <w:p w:rsidR="003D4771" w:rsidRDefault="003D4771" w:rsidP="004E03D4">
      <w:pPr>
        <w:ind w:left="0" w:right="0"/>
      </w:pPr>
    </w:p>
    <w:sectPr w:rsidR="003D4771" w:rsidSect="004E03D4">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03D4"/>
    <w:rsid w:val="00231456"/>
    <w:rsid w:val="00311252"/>
    <w:rsid w:val="003911CF"/>
    <w:rsid w:val="003D4771"/>
    <w:rsid w:val="004E03D4"/>
    <w:rsid w:val="005133BD"/>
    <w:rsid w:val="006424B1"/>
    <w:rsid w:val="00804EF0"/>
    <w:rsid w:val="00A55CE4"/>
    <w:rsid w:val="00DF41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03D4"/>
    <w:rPr>
      <w:b/>
      <w:bCs/>
    </w:rPr>
  </w:style>
  <w:style w:type="character" w:styleId="Kpr">
    <w:name w:val="Hyperlink"/>
    <w:basedOn w:val="VarsaylanParagrafYazTipi"/>
    <w:uiPriority w:val="99"/>
    <w:semiHidden/>
    <w:unhideWhenUsed/>
    <w:rsid w:val="004E03D4"/>
    <w:rPr>
      <w:color w:val="0000FF"/>
      <w:u w:val="single"/>
    </w:rPr>
  </w:style>
  <w:style w:type="paragraph" w:styleId="NormalWeb">
    <w:name w:val="Normal (Web)"/>
    <w:basedOn w:val="Normal"/>
    <w:uiPriority w:val="99"/>
    <w:semiHidden/>
    <w:unhideWhenUsed/>
    <w:rsid w:val="004E03D4"/>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E03D4"/>
  </w:style>
</w:styles>
</file>

<file path=word/webSettings.xml><?xml version="1.0" encoding="utf-8"?>
<w:webSettings xmlns:r="http://schemas.openxmlformats.org/officeDocument/2006/relationships" xmlns:w="http://schemas.openxmlformats.org/wordprocessingml/2006/main">
  <w:divs>
    <w:div w:id="2147118767">
      <w:bodyDiv w:val="1"/>
      <w:marLeft w:val="0"/>
      <w:marRight w:val="0"/>
      <w:marTop w:val="0"/>
      <w:marBottom w:val="0"/>
      <w:divBdr>
        <w:top w:val="none" w:sz="0" w:space="0" w:color="auto"/>
        <w:left w:val="none" w:sz="0" w:space="0" w:color="auto"/>
        <w:bottom w:val="none" w:sz="0" w:space="0" w:color="auto"/>
        <w:right w:val="none" w:sz="0" w:space="0" w:color="auto"/>
      </w:divBdr>
      <w:divsChild>
        <w:div w:id="1213036684">
          <w:marLeft w:val="0"/>
          <w:marRight w:val="0"/>
          <w:marTop w:val="0"/>
          <w:marBottom w:val="120"/>
          <w:divBdr>
            <w:top w:val="none" w:sz="0" w:space="0" w:color="auto"/>
            <w:left w:val="none" w:sz="0" w:space="0" w:color="auto"/>
            <w:bottom w:val="none" w:sz="0" w:space="0" w:color="auto"/>
            <w:right w:val="none" w:sz="0" w:space="0" w:color="auto"/>
          </w:divBdr>
        </w:div>
        <w:div w:id="57679774">
          <w:marLeft w:val="120"/>
          <w:marRight w:val="120"/>
          <w:marTop w:val="0"/>
          <w:marBottom w:val="0"/>
          <w:divBdr>
            <w:top w:val="none" w:sz="0" w:space="0" w:color="auto"/>
            <w:left w:val="none" w:sz="0" w:space="0" w:color="auto"/>
            <w:bottom w:val="none" w:sz="0" w:space="0" w:color="auto"/>
            <w:right w:val="none" w:sz="0" w:space="0" w:color="auto"/>
          </w:divBdr>
          <w:divsChild>
            <w:div w:id="1157720478">
              <w:marLeft w:val="0"/>
              <w:marRight w:val="0"/>
              <w:marTop w:val="0"/>
              <w:marBottom w:val="150"/>
              <w:divBdr>
                <w:top w:val="none" w:sz="0" w:space="0" w:color="auto"/>
                <w:left w:val="none" w:sz="0" w:space="0" w:color="auto"/>
                <w:bottom w:val="none" w:sz="0" w:space="0" w:color="auto"/>
                <w:right w:val="none" w:sz="0" w:space="0" w:color="auto"/>
              </w:divBdr>
              <w:divsChild>
                <w:div w:id="806826288">
                  <w:marLeft w:val="0"/>
                  <w:marRight w:val="0"/>
                  <w:marTop w:val="0"/>
                  <w:marBottom w:val="0"/>
                  <w:divBdr>
                    <w:top w:val="none" w:sz="0" w:space="0" w:color="auto"/>
                    <w:left w:val="none" w:sz="0" w:space="0" w:color="auto"/>
                    <w:bottom w:val="none" w:sz="0" w:space="0" w:color="auto"/>
                    <w:right w:val="none" w:sz="0" w:space="0" w:color="auto"/>
                  </w:divBdr>
                </w:div>
                <w:div w:id="542180681">
                  <w:marLeft w:val="0"/>
                  <w:marRight w:val="0"/>
                  <w:marTop w:val="0"/>
                  <w:marBottom w:val="0"/>
                  <w:divBdr>
                    <w:top w:val="none" w:sz="0" w:space="0" w:color="auto"/>
                    <w:left w:val="none" w:sz="0" w:space="0" w:color="auto"/>
                    <w:bottom w:val="none" w:sz="0" w:space="0" w:color="auto"/>
                    <w:right w:val="none" w:sz="0" w:space="0" w:color="auto"/>
                  </w:divBdr>
                </w:div>
                <w:div w:id="15221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dto.org.tr/images/other/oda_dilekce.docx" TargetMode="External"/><Relationship Id="rId4" Type="http://schemas.openxmlformats.org/officeDocument/2006/relationships/hyperlink" Target="http://mersis.gumrukticare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3</cp:revision>
  <dcterms:created xsi:type="dcterms:W3CDTF">2018-08-28T11:03:00Z</dcterms:created>
  <dcterms:modified xsi:type="dcterms:W3CDTF">2018-09-12T05:46:00Z</dcterms:modified>
</cp:coreProperties>
</file>